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7"/>
        <w:gridCol w:w="1317"/>
        <w:gridCol w:w="120"/>
        <w:gridCol w:w="1064"/>
        <w:gridCol w:w="120"/>
        <w:gridCol w:w="1732"/>
        <w:gridCol w:w="120"/>
        <w:gridCol w:w="120"/>
        <w:gridCol w:w="120"/>
        <w:gridCol w:w="135"/>
      </w:tblGrid>
      <w:tr w:rsidR="00000000">
        <w:trPr>
          <w:tblCellSpacing w:w="15" w:type="dxa"/>
        </w:trPr>
        <w:tc>
          <w:tcPr>
            <w:tcW w:w="3400" w:type="pct"/>
            <w:vMerge w:val="restar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600" w:type="pct"/>
            <w:gridSpan w:val="5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УТВЕРЖДАЮ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Руководитель (уполномоченное лицо) 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директор</w:t>
            </w:r>
          </w:p>
        </w:tc>
        <w:tc>
          <w:tcPr>
            <w:tcW w:w="50" w:type="pct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</w:p>
        </w:tc>
        <w:tc>
          <w:tcPr>
            <w:tcW w:w="50" w:type="pct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Авсейкова Н. И.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500" w:type="pct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D37ED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4"/>
        <w:gridCol w:w="300"/>
        <w:gridCol w:w="120"/>
        <w:gridCol w:w="300"/>
        <w:gridCol w:w="120"/>
        <w:gridCol w:w="300"/>
        <w:gridCol w:w="300"/>
        <w:gridCol w:w="921"/>
      </w:tblGrid>
      <w:tr w:rsidR="00000000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 23 » </w:t>
            </w:r>
          </w:p>
        </w:tc>
        <w:tc>
          <w:tcPr>
            <w:tcW w:w="5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D37ED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37ED">
            <w:pPr>
              <w:pStyle w:val="title"/>
            </w:pPr>
            <w:r>
              <w:t xml:space="preserve">ПЛАН-ГРАФИК </w:t>
            </w:r>
            <w:r>
              <w:br/>
            </w:r>
            <w:r>
              <w:t xml:space="preserve">закупок товаров, работ, услуг для обеспечения нужд субъекта Российской Федерации и муниципальных нужд </w:t>
            </w:r>
            <w:r>
              <w:br/>
            </w:r>
            <w:r>
              <w:t xml:space="preserve">на 20 </w:t>
            </w:r>
            <w:r>
              <w:rPr>
                <w:u w:val="single"/>
              </w:rPr>
              <w:t>18</w:t>
            </w:r>
            <w:r>
              <w:t xml:space="preserve"> год </w:t>
            </w:r>
          </w:p>
        </w:tc>
      </w:tr>
    </w:tbl>
    <w:p w:rsidR="00000000" w:rsidRDefault="006D37ED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0"/>
        <w:gridCol w:w="3395"/>
        <w:gridCol w:w="66"/>
        <w:gridCol w:w="1204"/>
        <w:gridCol w:w="1350"/>
        <w:gridCol w:w="50"/>
      </w:tblGrid>
      <w:tr w:rsidR="00000000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150" w:type="pct"/>
            <w:vMerge w:val="restar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Коды </w:t>
            </w:r>
          </w:p>
        </w:tc>
      </w:tr>
      <w:tr w:rsidR="00000000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200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23.03.2018</w:t>
            </w:r>
          </w:p>
        </w:tc>
      </w:tr>
      <w:tr w:rsidR="00000000">
        <w:trPr>
          <w:gridAfter w:val="1"/>
          <w:wAfter w:w="423" w:type="dxa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ГОСУДАРСТВЕННОЕ КАЗЕННОЕ УЧРЕЖДЕНИЕ "СЕВАСТОПОЛЬСКИЙ ГОРОДСКОЙ КОМПЛЕКСНЫЙ ЦЕНТР СОЦИАЛЬ</w:t>
            </w:r>
            <w:r>
              <w:rPr>
                <w:rFonts w:eastAsia="Times New Roman"/>
              </w:rPr>
              <w:t>НОГО ОБСЛУЖИВАНИЯ"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ОКПО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00398103 </w:t>
            </w:r>
          </w:p>
        </w:tc>
      </w:tr>
      <w:tr w:rsidR="00000000">
        <w:trPr>
          <w:gridAfter w:val="1"/>
          <w:wAfter w:w="4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9204020756</w:t>
            </w:r>
          </w:p>
        </w:tc>
      </w:tr>
      <w:tr w:rsidR="00000000">
        <w:trPr>
          <w:gridAfter w:val="1"/>
          <w:wAfter w:w="4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КПП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920401001</w:t>
            </w:r>
          </w:p>
        </w:tc>
      </w:tr>
      <w:tr w:rsidR="00000000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ОКОПФ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75204</w:t>
            </w:r>
          </w:p>
        </w:tc>
      </w:tr>
      <w:tr w:rsidR="00000000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Собственность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ОКФС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</w:tr>
      <w:tr w:rsidR="00000000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публично-правового образования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Государственные казенные учреждения субъектов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67312000</w:t>
            </w:r>
          </w:p>
        </w:tc>
      </w:tr>
      <w:tr w:rsidR="00000000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Российская Федерация, 299029, Севастополь г, УЛ ХРУСТАЛЕВА, ДОМ 27 , 7-8692-553008 , sevtercentr@mail.ru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</w:tr>
      <w:tr w:rsidR="00000000">
        <w:trPr>
          <w:gridAfter w:val="1"/>
          <w:wAfter w:w="423" w:type="dxa"/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измененный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gridAfter w:val="1"/>
          <w:wAfter w:w="4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дата 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23.03.2018</w:t>
            </w:r>
          </w:p>
        </w:tc>
      </w:tr>
      <w:tr w:rsidR="00000000">
        <w:trPr>
          <w:gridAfter w:val="1"/>
          <w:wAfter w:w="423" w:type="dxa"/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Единица измерения: рубль </w:t>
            </w:r>
          </w:p>
        </w:tc>
        <w:tc>
          <w:tcPr>
            <w:tcW w:w="200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по ОКЕИ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383 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00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Совокупный годовой объем закупок (справочно),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500" w:type="pct"/>
            <w:gridSpan w:val="2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10509159.59</w:t>
            </w:r>
          </w:p>
        </w:tc>
      </w:tr>
    </w:tbl>
    <w:p w:rsidR="00000000" w:rsidRDefault="006D37ED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346"/>
        <w:gridCol w:w="1438"/>
        <w:gridCol w:w="1030"/>
        <w:gridCol w:w="722"/>
        <w:gridCol w:w="780"/>
        <w:gridCol w:w="842"/>
        <w:gridCol w:w="567"/>
        <w:gridCol w:w="530"/>
        <w:gridCol w:w="890"/>
        <w:gridCol w:w="653"/>
        <w:gridCol w:w="504"/>
        <w:gridCol w:w="450"/>
        <w:gridCol w:w="842"/>
        <w:gridCol w:w="567"/>
        <w:gridCol w:w="530"/>
        <w:gridCol w:w="890"/>
        <w:gridCol w:w="1051"/>
        <w:gridCol w:w="600"/>
        <w:gridCol w:w="795"/>
        <w:gridCol w:w="979"/>
        <w:gridCol w:w="795"/>
        <w:gridCol w:w="907"/>
        <w:gridCol w:w="1052"/>
        <w:gridCol w:w="1058"/>
        <w:gridCol w:w="1209"/>
        <w:gridCol w:w="1087"/>
        <w:gridCol w:w="968"/>
        <w:gridCol w:w="1581"/>
        <w:gridCol w:w="1132"/>
        <w:gridCol w:w="1112"/>
        <w:gridCol w:w="953"/>
      </w:tblGrid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divId w:val="1018044479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Количество (объем) закупаемых товаров, работ, услуг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Преимущества, предоставля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Осуществление з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акупки у субъектов малого предпринима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наимено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b/>
                <w:bCs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182920402075692040100100010016110244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связи, а также связанные с ними дополнительные услуги, и услуги по предоставлению доступа к сети местной телефонной связи, независимо от типа абонентской линии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предоставлению внутризоновых, междугор</w:t>
            </w:r>
            <w:r>
              <w:rPr>
                <w:rFonts w:eastAsia="Times New Roman"/>
                <w:sz w:val="12"/>
                <w:szCs w:val="12"/>
              </w:rPr>
              <w:t xml:space="preserve">одных и международных телефонных соединений для нужд учреждения в соответствии с условиями и требованиями законодательства РФ в области связи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в соответствии с условиями контракта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предоставлению внутризоновых, междугородных и международных телефонных соединений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182920402075692040100100020013600244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холодного водоснабжения и водоотведения для нужд учреждения в соответствии с условиями и требованиями, определяемыми законодательством РФ в области водоснабжения и водоотведения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в соответствии с условиями контракта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уточнение сведений о закупке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Вода питьевая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182920402075692040100100030013511244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Подача электрической энергии </w:t>
            </w:r>
            <w:r>
              <w:rPr>
                <w:rFonts w:eastAsia="Times New Roman"/>
                <w:sz w:val="12"/>
                <w:szCs w:val="12"/>
              </w:rPr>
              <w:t>(мощности)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Электроэнергия, произведенная теплоэлектроцентралями (ТЭЦ) общего назначения , подача электрической энергии( мощности) для нужд учреждения в соответствии с условиями и требованиями законодательства РФ в области производства, подачи и распределе</w:t>
            </w:r>
            <w:r>
              <w:rPr>
                <w:rFonts w:eastAsia="Times New Roman"/>
                <w:sz w:val="12"/>
                <w:szCs w:val="12"/>
              </w:rPr>
              <w:t xml:space="preserve">ния электроэнергии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117859.59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117859.59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117859.59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в соответствии с условиями контракта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03.2018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внесение изменений в бюджетную см</w:t>
            </w:r>
            <w:r>
              <w:rPr>
                <w:rFonts w:eastAsia="Times New Roman"/>
                <w:sz w:val="12"/>
                <w:szCs w:val="12"/>
              </w:rPr>
              <w:t>ету учреждения на 2018 год в связи с погашением кредиторской задолженности по электроснабжению за декабрь 2017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Электроэнергия, произведенная теплоэлектроцентралями (ТЭЦ) общего назначения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182920402075692040100100040013530244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Энергия тепловая, отпущенная котельными , поставка тепловой энергии для нужд учреждения в соответствии с условиями и требованиями законодательства РФ в области производства, подачи и распределения тепловой энергии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</w:t>
            </w:r>
            <w:r>
              <w:rPr>
                <w:rFonts w:eastAsia="Times New Roman"/>
                <w:sz w:val="12"/>
                <w:szCs w:val="12"/>
              </w:rPr>
              <w:t>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в соответствии с условиями контракта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t xml:space="preserve">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уточнение сведений о закупке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Энергия тепловая, отпущенная котельными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182920402075692040100100050013811244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по обращению с твердыми коммунальными отходами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сбору неопасных отходов городского хозяйства, пригодных для повторного использования ( сбор, транспортирование, обработка, обезвреживание, захоронение ТКО) в соответствии с законодат</w:t>
            </w:r>
            <w:r>
              <w:rPr>
                <w:rFonts w:eastAsia="Times New Roman"/>
                <w:sz w:val="12"/>
                <w:szCs w:val="12"/>
              </w:rPr>
              <w:t>ельством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61200.00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61200.00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61200.00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в соответствии с условиями контракта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</w:t>
            </w:r>
            <w:r>
              <w:rPr>
                <w:rFonts w:eastAsia="Times New Roman"/>
                <w:sz w:val="12"/>
                <w:szCs w:val="12"/>
              </w:rPr>
              <w:t>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уточнение сведений о закупке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сбору неопасных отходов городского хозяйства, пригодных для повторного использования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182920402075692040100100060014329244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ограждения территории ГКУ "Севастопольский городской комплексный центр социального обслуживания" по ул. Хрусталёва,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ограждения территории ГКУ "Севастопольский городской комплексный центр социального обслуживания" по ул. Хрусталёва,27,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399998.00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399998.00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399998.00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в соответствии с условиями контракта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3999.98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19999.90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</w:t>
            </w:r>
            <w:r>
              <w:rPr>
                <w:rFonts w:eastAsia="Times New Roman"/>
                <w:sz w:val="12"/>
                <w:szCs w:val="12"/>
              </w:rPr>
              <w:t xml:space="preserve">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Изменение срока начал проведения закупки и стоимости закупки в соответствии с проектно-сметной док</w:t>
            </w:r>
            <w:r>
              <w:rPr>
                <w:rFonts w:eastAsia="Times New Roman"/>
                <w:sz w:val="12"/>
                <w:szCs w:val="12"/>
              </w:rPr>
              <w:t>ументацией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по установке оград, заборов, защитных перильных и аналогичных ограждений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182920402075692040100100070014299244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благоустройства территории ГКУ "Севастопольский городской комплексный центр социального обслуживания" по ул. Хрусталёва, 27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благоустройства территории ГКУ "Севастопольский городской комплексный центр социального обслуживания" по ул. Хрусталёва, 27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в соответствии с условиями контракта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19750.00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строительные по строительству гражданских сооружений, не включенные в другие группировки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182920402075692040100100080014299244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благоустройства </w:t>
            </w:r>
            <w:r>
              <w:rPr>
                <w:rFonts w:eastAsia="Times New Roman"/>
                <w:sz w:val="12"/>
                <w:szCs w:val="12"/>
              </w:rPr>
              <w:t xml:space="preserve">перед беседками на территории ГКУ "Севастопольский городской комплексный центр социального обслуживания" по ул. Хрусталёва,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по текущему ремонту благоустройства перед беседками на территории ГКУ "Севастопольский городской компл</w:t>
            </w:r>
            <w:r>
              <w:rPr>
                <w:rFonts w:eastAsia="Times New Roman"/>
                <w:sz w:val="12"/>
                <w:szCs w:val="12"/>
              </w:rPr>
              <w:t xml:space="preserve">ексный центр социального обслуживания" по ул. Хрусталёва,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r>
              <w:rPr>
                <w:rFonts w:eastAsia="Times New Roman"/>
                <w:sz w:val="12"/>
                <w:szCs w:val="12"/>
              </w:rPr>
              <w:t xml:space="preserve">в соответствии с условиями контракта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строительные по строительству гражданских сооружений, не включенные в другие группировки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182920402075692040100100090014120244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беседок на территории ГКУ "Севастопольский городской комплексный центр социального обслуживания" по ул. Хрусталёва, 27 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беседок на территории ГКУ "Севастопольский городской комплексный центр социального обслуживания" по ул. Хрусталёва, 27 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в соответствии с условиями контракта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05.2018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</w:t>
            </w:r>
            <w:r>
              <w:rPr>
                <w:rFonts w:eastAsia="Times New Roman"/>
                <w:sz w:val="12"/>
                <w:szCs w:val="12"/>
              </w:rPr>
              <w:t>закупок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Изменение срока начала проведения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182920402075692040100100090024120244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беседок на территории ГКУ "Севастопольский городской комплексный центр социального обслуживания" по ул. Хрусталёва, 27 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беседок на территории ГКУ "Севастопольский городской комплексный центр социального обслуживания" по ул. Хрусталёва,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в соответствии с условиями контракта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182920402075692040100100090034120244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беседок на территории ГКУ "Севастопольский городской комплексный центр социального обслуживания" по ул. Хрусталёва,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по текущему ремонту беседок на территории ГКУ "Севастопольский городской комплексны</w:t>
            </w:r>
            <w:r>
              <w:rPr>
                <w:rFonts w:eastAsia="Times New Roman"/>
                <w:sz w:val="12"/>
                <w:szCs w:val="12"/>
              </w:rPr>
              <w:t xml:space="preserve">й центр социального обслуживания" по ул. Хрусталёва,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в соответствии с условиями контракта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182920402075692040100100090044120244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беседок на территории ГКУ "Севастопольский городской комплексный центр социального обслуживания" по ул. Хрусталёва,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беседок на территории ГКУ "Севастопольский городской комплексный центр социального обслуживания" по ул. Хрусталёва,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в соответствии с условиями контракта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18545.00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182920402075692040100100100018621244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проведению периодического медицинского осмотра работников ГКУ "Севастопольский городской комплексный центр социального обслуживания"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проведению периодического медицинского осмотра работников ГКУ "Севастопольский городской комплексный ц</w:t>
            </w:r>
            <w:r>
              <w:rPr>
                <w:rFonts w:eastAsia="Times New Roman"/>
                <w:sz w:val="12"/>
                <w:szCs w:val="12"/>
              </w:rPr>
              <w:t>ентр социального обслуживания"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271800.00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271800.00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271800.00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в связи с внесением изменений в б</w:t>
            </w:r>
            <w:r>
              <w:rPr>
                <w:rFonts w:eastAsia="Times New Roman"/>
                <w:sz w:val="12"/>
                <w:szCs w:val="12"/>
              </w:rPr>
              <w:t>юджетную смету учреждения на 2018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консультативные, предоставляемые врачами общей врачебной практики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182920402075692040100100110015610244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обеспечению горячими обедами на предприятии общественного питания граждан пожилого возраста и инвалидов молодого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Услуги по обеспечению </w:t>
            </w:r>
            <w:r>
              <w:rPr>
                <w:rFonts w:eastAsia="Times New Roman"/>
                <w:sz w:val="12"/>
                <w:szCs w:val="12"/>
              </w:rPr>
              <w:t xml:space="preserve">горячими обедами на предприятии общественного питания граждан пожилого возраста и инвалидов молодого возраста в полустационарной форме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2592000.00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2592000.00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2592000.00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в соответствии с условиями контракта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25920.00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129600.</w:t>
            </w:r>
            <w:r>
              <w:rPr>
                <w:rFonts w:eastAsia="Times New Roman"/>
                <w:sz w:val="12"/>
                <w:szCs w:val="12"/>
              </w:rPr>
              <w:t>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прочих предприятий питания с полным обслуживанием без сопровождения развлекательных программ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182920402075692040100100120010000244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Закупка мебели для офисов, административных помещений в ассортименте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мебель офисная в ассортименте в соответствии с требованиями законодательства РФ к производству и реализации мебели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561000.00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561000.00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561000.00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</w:t>
            </w:r>
            <w:r>
              <w:rPr>
                <w:rFonts w:eastAsia="Times New Roman"/>
                <w:sz w:val="12"/>
                <w:szCs w:val="12"/>
              </w:rPr>
              <w:t xml:space="preserve"> Один раз в год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Планируемый срок (сроки отдельных этапов) поставки товаров (выполнения работ, оказания услуг): в соответствии с условиями контракта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5610.00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28050.00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07.2018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в соответствии с Постановлением Правительства РФ от 05.09.2017№1072 и дейс</w:t>
            </w:r>
            <w:r>
              <w:rPr>
                <w:rFonts w:eastAsia="Times New Roman"/>
                <w:sz w:val="12"/>
                <w:szCs w:val="12"/>
              </w:rPr>
              <w:t xml:space="preserve">твующим законодательством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в соответствии с приказом Минэкономразвития России №155 от 2</w:t>
            </w:r>
            <w:r>
              <w:rPr>
                <w:rFonts w:eastAsia="Times New Roman"/>
                <w:sz w:val="12"/>
                <w:szCs w:val="12"/>
              </w:rPr>
              <w:t>5.03.2014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Столы письменные деревянные для офисов, административных помещений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Мебель для сидения, преимущественно с металлическим каркасом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Шкафы офисные деревянные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Шкафы для одежды деревянные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Тумбы офисные деревянные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Мебель офисная металлическая прочая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182920402075692040100100130010000244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Закупка компьютеров (ЭВМ) и многофункциональных устройств (МФУ) в ассортименте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Закупка компьютеров (ЭВМ) и многофункциональных устройств (МФУ) в ассортименте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31500.00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в соответствии с Постановлением Правительства РФ от 26.09.2016 N 968 и дей</w:t>
            </w:r>
            <w:r>
              <w:rPr>
                <w:rFonts w:eastAsia="Times New Roman"/>
                <w:sz w:val="12"/>
                <w:szCs w:val="12"/>
              </w:rPr>
              <w:t xml:space="preserve">ствующим законодательством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в соответствии с Постановлением Правительства РФ от 26.09.2</w:t>
            </w:r>
            <w:r>
              <w:rPr>
                <w:rFonts w:eastAsia="Times New Roman"/>
                <w:sz w:val="12"/>
                <w:szCs w:val="12"/>
              </w:rPr>
              <w:t xml:space="preserve">016 N 968, приказом Минэкономразвития России от 25.03.2014 №155 и действующим законодательством РФ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</w:t>
            </w:r>
            <w:r>
              <w:rPr>
                <w:rFonts w:eastAsia="Times New Roman"/>
                <w:sz w:val="12"/>
                <w:szCs w:val="12"/>
              </w:rPr>
              <w:t>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182920402075692040100100140012825244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Закупка кондиционеров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кондиционеров для нужд учреждения в соответствии с требованиями законодательства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3330.00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16650.00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да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Кондиционеры бытовые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182920402075692040100100150010000244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Закупка спецодежды, обуви и инвентаря для </w:t>
            </w:r>
            <w:r>
              <w:rPr>
                <w:rFonts w:eastAsia="Times New Roman"/>
                <w:sz w:val="12"/>
                <w:szCs w:val="12"/>
              </w:rPr>
              <w:t xml:space="preserve">работников ГКУ "Севастопольский городской комплексный центр социального обслуживания"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спецодежды, обуви и инвентаря для работников ГКУ "Севастопольский городской комплексный центр социального обслуживания" в соответствии с требованиями законодате</w:t>
            </w:r>
            <w:r>
              <w:rPr>
                <w:rFonts w:eastAsia="Times New Roman"/>
                <w:sz w:val="12"/>
                <w:szCs w:val="12"/>
              </w:rPr>
              <w:t>льства РФ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408100.00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408100.00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408100.00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</w:t>
            </w:r>
            <w:r>
              <w:rPr>
                <w:rFonts w:eastAsia="Times New Roman"/>
                <w:sz w:val="12"/>
                <w:szCs w:val="12"/>
              </w:rPr>
              <w:t xml:space="preserve">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09.2018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Запрет на допуск товаров, услуг при осуществл</w:t>
            </w:r>
            <w:r>
              <w:rPr>
                <w:rFonts w:eastAsia="Times New Roman"/>
                <w:sz w:val="12"/>
                <w:szCs w:val="12"/>
              </w:rPr>
              <w:t>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в соответствии с Постановлением Правительства РФ от 26.10.2017 N 1299 и действующим законодательством РФ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Участникам, </w:t>
            </w:r>
            <w:r>
              <w:rPr>
                <w:rFonts w:eastAsia="Times New Roman"/>
                <w:sz w:val="12"/>
                <w:szCs w:val="12"/>
              </w:rPr>
              <w:t>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в соответствии с Постановлением Правительства РФ от 26.10.2017 N 1299, приказом Минэкономразвития Ро</w:t>
            </w:r>
            <w:r>
              <w:rPr>
                <w:rFonts w:eastAsia="Times New Roman"/>
                <w:sz w:val="12"/>
                <w:szCs w:val="12"/>
              </w:rPr>
              <w:t xml:space="preserve">ссии от 25.03.2014 № 155и действующим законодательством РФ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Обувь специальная прочая, не включенная в другие группировки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Белье столовое из хлопчатобумажных тканей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Юбки, халаты, блузки, фартуки, жилеты, платья и сорочки женские производственные и профессиональные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Изделия текстильные прочие, не включенные в другие группировки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182920402075692040100100180018541244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обучению компьютерной грамотности неработающих пенсионеров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в соответствии с условиями контракта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в связи с изменением сроков осуще</w:t>
            </w:r>
            <w:r>
              <w:rPr>
                <w:rFonts w:eastAsia="Times New Roman"/>
                <w:sz w:val="12"/>
                <w:szCs w:val="12"/>
              </w:rPr>
              <w:t xml:space="preserve">ствления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в области дополнительного образования прочие, не включенные в другие группировки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182920402075692040100100190018110244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и работ по содержанию и ремонту общего имущества в многоквартирном жилом доме, расположенном по адресу: г. Севастополь, ул. Гоголя, 20-А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и работ </w:t>
            </w:r>
            <w:r>
              <w:rPr>
                <w:rFonts w:eastAsia="Times New Roman"/>
                <w:sz w:val="12"/>
                <w:szCs w:val="12"/>
              </w:rPr>
              <w:t>по содержанию и ремонту общего имущества в многоквартирном жилом доме, расположенном по адресу: г. Севастополь, ул. Гоголя, 20-А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5593.92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5593.92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5593.92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Периодичность поставки товаров (выполнения работ, оказания услуг): в соответствии с условиями контракта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Новая закупка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обслуживанию помещений комплексные (Оказание услуг и работ по содержанию и ремонту общего имущества в многоквартирном жилом доме, расположенном по адресу: г. Севастополь, ул. Гоголя, 20-А)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182920402075692040100100200016110244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связи проводного радиовещания и оповещения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связи проводного радиовещания и оповещения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Периодичность поставки товаров (выполнения работ, оказания услуг): в соответствии с условиями контракта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Планируемый срок (сроки отдельных этапов) поставки товаров (выполнения </w:t>
            </w:r>
            <w:r>
              <w:rPr>
                <w:rFonts w:eastAsia="Times New Roman"/>
                <w:sz w:val="12"/>
                <w:szCs w:val="12"/>
              </w:rPr>
              <w:t xml:space="preserve">работ, оказания услуг): в соответствии с условиями контракта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04.2018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Новая закупка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передаче данных по проводным телекоммуникационным сетям прочие (Оказание услуг связи проводного радиовещания и оповещения)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1656908.08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1656908.08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 xml:space="preserve">Изменение закупки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внесение изменений в показатели б</w:t>
            </w:r>
            <w:r>
              <w:rPr>
                <w:rFonts w:eastAsia="Times New Roman"/>
                <w:sz w:val="12"/>
                <w:szCs w:val="12"/>
              </w:rPr>
              <w:t xml:space="preserve">юджетной сметы на 2018 финансовый год (на плановый период 2019 и 2020 годов)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182920402075692040100100160010000244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1656908.08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1656908.08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8852251.51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10509159.59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10509159.59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879900.00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X</w:t>
            </w:r>
          </w:p>
        </w:tc>
      </w:tr>
    </w:tbl>
    <w:p w:rsidR="00000000" w:rsidRDefault="006D37ED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3812"/>
        <w:gridCol w:w="380"/>
        <w:gridCol w:w="1527"/>
        <w:gridCol w:w="381"/>
        <w:gridCol w:w="1689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контрактный управляющий </w:t>
            </w:r>
          </w:p>
        </w:tc>
        <w:tc>
          <w:tcPr>
            <w:tcW w:w="250" w:type="pct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</w:p>
        </w:tc>
        <w:tc>
          <w:tcPr>
            <w:tcW w:w="250" w:type="pct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Шустова М. Ю.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(расшифровка подписи)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D37ED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"/>
        <w:gridCol w:w="327"/>
        <w:gridCol w:w="120"/>
        <w:gridCol w:w="329"/>
        <w:gridCol w:w="300"/>
        <w:gridCol w:w="7694"/>
      </w:tblGrid>
      <w:tr w:rsidR="00000000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«23» </w:t>
            </w:r>
          </w:p>
        </w:tc>
        <w:tc>
          <w:tcPr>
            <w:tcW w:w="5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</w:p>
        </w:tc>
        <w:tc>
          <w:tcPr>
            <w:tcW w:w="5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</w:p>
        </w:tc>
      </w:tr>
    </w:tbl>
    <w:p w:rsidR="00000000" w:rsidRDefault="006D37ED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37ED">
            <w:pPr>
              <w:pStyle w:val="title"/>
            </w:pPr>
            <w:r>
              <w:t xml:space="preserve">ФОРМА </w:t>
            </w:r>
            <w:r>
              <w:br/>
            </w:r>
            <w:r>
              <w:t>обоснования закупок товаров, работ и услуг для обеспечения государственных и муниципальных нужд</w:t>
            </w:r>
            <w:r>
              <w:t xml:space="preserve"> </w:t>
            </w:r>
            <w:r>
              <w:br/>
            </w:r>
            <w:r>
              <w:t xml:space="preserve">при формировании и утверждении плана-графика закупок </w:t>
            </w:r>
          </w:p>
        </w:tc>
      </w:tr>
    </w:tbl>
    <w:p w:rsidR="00000000" w:rsidRDefault="006D37ED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8"/>
        <w:gridCol w:w="1894"/>
        <w:gridCol w:w="1274"/>
        <w:gridCol w:w="1289"/>
      </w:tblGrid>
      <w:tr w:rsidR="0000000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Вид документа (базовый (0), измененный (порядковый код изменения плана-графика закупок) </w:t>
            </w:r>
          </w:p>
        </w:tc>
        <w:tc>
          <w:tcPr>
            <w:tcW w:w="75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изменения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000000">
        <w:trPr>
          <w:tblCellSpacing w:w="15" w:type="dxa"/>
        </w:trPr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</w:tr>
    </w:tbl>
    <w:p w:rsidR="00000000" w:rsidRDefault="006D37ED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"/>
        <w:gridCol w:w="2310"/>
        <w:gridCol w:w="1346"/>
        <w:gridCol w:w="1030"/>
        <w:gridCol w:w="1077"/>
        <w:gridCol w:w="1147"/>
        <w:gridCol w:w="1127"/>
        <w:gridCol w:w="907"/>
        <w:gridCol w:w="1208"/>
        <w:gridCol w:w="1072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невозможности применения для определения и обоснования начальной (максимальной) 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не предусмотренного частью 1 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>Способ определения поставщи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6D37ED">
            <w:pPr>
              <w:jc w:val="center"/>
              <w:rPr>
                <w:rFonts w:eastAsia="Times New Roman"/>
                <w:b/>
                <w:bCs/>
                <w:sz w:val="12"/>
                <w:szCs w:val="12"/>
              </w:rPr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182920402075692040100100010016110244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связи, а также связанные с ними дополнительные услуги, и услуги по предоставлению доступа к сети местной телефонной связи, независимо от типа абонентской линии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63800.00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Тарифн</w:t>
            </w:r>
            <w:r>
              <w:rPr>
                <w:rFonts w:eastAsia="Times New Roman"/>
                <w:sz w:val="12"/>
                <w:szCs w:val="12"/>
              </w:rPr>
              <w:t xml:space="preserve">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</w:t>
            </w:r>
            <w:r>
              <w:rPr>
                <w:rFonts w:eastAsia="Times New Roman"/>
                <w:sz w:val="12"/>
                <w:szCs w:val="12"/>
              </w:rPr>
              <w:t>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(ст.22 ФЗ-44 от 05.04.2013</w:t>
            </w:r>
            <w:r>
              <w:rPr>
                <w:rFonts w:eastAsia="Times New Roman"/>
                <w:sz w:val="12"/>
                <w:szCs w:val="12"/>
              </w:rPr>
              <w:t xml:space="preserve">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осуществление закупки товара, работы или услуги, которые относятся к сфере деятельности субъектов естественных монополий в соответствии с Федеральным законом от 17 августа 1995 года N 147-ФЗ "О естественных монополиях", а также услуг центрального депозитар</w:t>
            </w:r>
            <w:r>
              <w:rPr>
                <w:rFonts w:eastAsia="Times New Roman"/>
                <w:sz w:val="12"/>
                <w:szCs w:val="12"/>
              </w:rPr>
              <w:t>ия ( ч.1 ст.93 ФЗ-44 от 05.04.2013)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182920402075692040100100020013600244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Холодное водоснабжение и водоотведение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98000.00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</w:t>
            </w:r>
            <w:r>
              <w:rPr>
                <w:rFonts w:eastAsia="Times New Roman"/>
                <w:sz w:val="12"/>
                <w:szCs w:val="12"/>
              </w:rPr>
              <w:t>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(ст.22 ФЗ-44 от 05.0</w:t>
            </w:r>
            <w:r>
              <w:rPr>
                <w:rFonts w:eastAsia="Times New Roman"/>
                <w:sz w:val="12"/>
                <w:szCs w:val="12"/>
              </w:rPr>
              <w:t xml:space="preserve">4.2013)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</w:t>
            </w:r>
            <w:r>
              <w:rPr>
                <w:rFonts w:eastAsia="Times New Roman"/>
                <w:sz w:val="12"/>
                <w:szCs w:val="12"/>
              </w:rPr>
              <w:t>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 (п.8 ч.1 ст.93 ФЗ-44)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182920402075692040100100030013511244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Подача электрической энергии (мощности)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117859.59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</w:t>
            </w:r>
            <w:r>
              <w:rPr>
                <w:rFonts w:eastAsia="Times New Roman"/>
                <w:sz w:val="12"/>
                <w:szCs w:val="12"/>
              </w:rPr>
              <w:t>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(ст.22 ФЗ-44 от 05.0</w:t>
            </w:r>
            <w:r>
              <w:rPr>
                <w:rFonts w:eastAsia="Times New Roman"/>
                <w:sz w:val="12"/>
                <w:szCs w:val="12"/>
              </w:rPr>
              <w:t>4.2013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заключение договора энергоснабжения или договора купли-продажи электрической энергии с гарантирующим поставщиком электрической энергии;( п.29 ч.1 ст.93 ФЗ-44)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Поставка тепловой энергии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750000.00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</w:t>
            </w:r>
            <w:r>
              <w:rPr>
                <w:rFonts w:eastAsia="Times New Roman"/>
                <w:sz w:val="12"/>
                <w:szCs w:val="12"/>
              </w:rPr>
              <w:t>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</w:t>
            </w:r>
            <w:r>
              <w:rPr>
                <w:rFonts w:eastAsia="Times New Roman"/>
                <w:sz w:val="12"/>
                <w:szCs w:val="12"/>
              </w:rPr>
              <w:t xml:space="preserve">ем), определяются по регулируемым ценам (тарифам) на товары, работы, услуги. (ст.22 ФЗ-44 от 05.04.2013)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водоснабжению, водоотведению, теплоснабжению, обращению с твердыми к</w:t>
            </w:r>
            <w:r>
              <w:rPr>
                <w:rFonts w:eastAsia="Times New Roman"/>
                <w:sz w:val="12"/>
                <w:szCs w:val="12"/>
              </w:rPr>
              <w:t>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регулируемым в соответствии с законодательством Российской Федерации ценам (тарифам), по</w:t>
            </w:r>
            <w:r>
              <w:rPr>
                <w:rFonts w:eastAsia="Times New Roman"/>
                <w:sz w:val="12"/>
                <w:szCs w:val="12"/>
              </w:rPr>
              <w:t xml:space="preserve"> хранению и ввозу (вывозу) наркотических средств и психотропных веществ; п.8 ч.1 ст. 93 ФЗ-44 от 05.04.2013)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182920402075692040100100050013811244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по обращению с твердыми коммунальными отходами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61200.00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Тарифный метод применяется заказчиком, если в соответствии с законодательством Российской Федерации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</w:t>
            </w:r>
            <w:r>
              <w:rPr>
                <w:rFonts w:eastAsia="Times New Roman"/>
                <w:sz w:val="12"/>
                <w:szCs w:val="12"/>
              </w:rPr>
              <w:t>альными правовыми актами. В этом случае 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 (ст.22 ФЗ-44 от 05</w:t>
            </w:r>
            <w:r>
              <w:rPr>
                <w:rFonts w:eastAsia="Times New Roman"/>
                <w:sz w:val="12"/>
                <w:szCs w:val="12"/>
              </w:rPr>
              <w:t xml:space="preserve">.04.2013)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оказание услуг по водоснабжению, водоотведению, теплоснабжению, обращению с твердыми коммунальными отходами, газоснабжению (за исключением услуг по реализации сжиженного газа), по подключению (присоединению) к сетям инженерно-технического обеспечения по ре</w:t>
            </w:r>
            <w:r>
              <w:rPr>
                <w:rFonts w:eastAsia="Times New Roman"/>
                <w:sz w:val="12"/>
                <w:szCs w:val="12"/>
              </w:rPr>
              <w:t>гулируемым в соответствии с законодательством Российской Федерации ценам (тарифам), по хранению и ввозу (вывозу) наркотических средств и психотропных веществ; (п.8 ч.1 ст. 93 ФЗ-44 от 05.04.2013)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182920402075692040100100060014329244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</w:t>
            </w:r>
            <w:r>
              <w:rPr>
                <w:rFonts w:eastAsia="Times New Roman"/>
                <w:sz w:val="12"/>
                <w:szCs w:val="12"/>
              </w:rPr>
              <w:t xml:space="preserve"> по текущему ремонту ограждения территории ГКУ "Севастопольский городской комплексный центр социального обслуживания" по ул. Хрусталёва,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399998.00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может применяться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на текущий ремонт зданий, строений, сооружений, помещений. </w:t>
            </w:r>
            <w:r>
              <w:rPr>
                <w:rFonts w:eastAsia="Times New Roman"/>
                <w:sz w:val="12"/>
                <w:szCs w:val="12"/>
              </w:rPr>
              <w:t>(ст.22 ФЗ-44 от 05.04.2013)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Заказчик обязан проводить электронный аукцион в случае, если осуществляются закупки товаров, работ, услуг, включенных в перечень, установленный Правительством Российской Федерации, либо в дополнительный пе</w:t>
            </w:r>
            <w:r>
              <w:rPr>
                <w:rFonts w:eastAsia="Times New Roman"/>
                <w:sz w:val="12"/>
                <w:szCs w:val="12"/>
              </w:rPr>
              <w:t>речень, установленный высшим исполнительным органом государственной власти субъекта Российской Федерации при осуществлении закупок товаров, работ, услуг для обеспечения нужд субъекта Российской Федерации,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182920402075692040100100070014299244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благоустройства территории ГКУ "Севастопольский городской комплексный центр социального обслуживания" по ул. Хрусталёва, 27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395000.00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Проектно</w:t>
            </w:r>
            <w:r>
              <w:rPr>
                <w:rFonts w:eastAsia="Times New Roman"/>
                <w:sz w:val="12"/>
                <w:szCs w:val="12"/>
              </w:rPr>
              <w:t>-сметный метод может применяться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на текущий ремонт зданий, строений, сооружений, помещений. (ст.22 Ф</w:t>
            </w:r>
            <w:r>
              <w:rPr>
                <w:rFonts w:eastAsia="Times New Roman"/>
                <w:sz w:val="12"/>
                <w:szCs w:val="12"/>
              </w:rPr>
              <w:t>З-44 от 05.04.2013)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Заказчик обязан проводить электронный аукцион в случае, если осуществляются закупки товаров, работ, услуг, включенных в перечень, установленный Правительством Российской Федерации, либо в дополнительный перечень, </w:t>
            </w:r>
            <w:r>
              <w:rPr>
                <w:rFonts w:eastAsia="Times New Roman"/>
                <w:sz w:val="12"/>
                <w:szCs w:val="12"/>
              </w:rPr>
              <w:t>установленный высшим исполнительным органом государственной власти субъекта Российской Федерации при осуществлении закупок товаров, работ, услуг для обеспечения нужд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182920402075692040100100080014299244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благоустройства перед беседками на территории ГКУ "Севастопольский городской комплексный центр социального обслуживания" по ул. Хрусталёва,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480000.00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Проектно-сметный метод мож</w:t>
            </w:r>
            <w:r>
              <w:rPr>
                <w:rFonts w:eastAsia="Times New Roman"/>
                <w:sz w:val="12"/>
                <w:szCs w:val="12"/>
              </w:rPr>
              <w:t>ет применяться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на текущий ремонт зданий, строений, сооружений, помещений. (ст.22 ФЗ-44 от 05.04.2013</w:t>
            </w:r>
            <w:r>
              <w:rPr>
                <w:rFonts w:eastAsia="Times New Roman"/>
                <w:sz w:val="12"/>
                <w:szCs w:val="12"/>
              </w:rPr>
              <w:t>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Заказчик обязан проводить электронный аукцион в случае, если осуществляются закупки товаров, работ, услуг, включенных в перечень, установленный Правительством Российской Федерации, либо в дополнительный перечень, установленный высш</w:t>
            </w:r>
            <w:r>
              <w:rPr>
                <w:rFonts w:eastAsia="Times New Roman"/>
                <w:sz w:val="12"/>
                <w:szCs w:val="12"/>
              </w:rPr>
              <w:t>им исполнительным органом государственной власти субъекта Российской Федерации при осуществлении закупок товаров, работ, услуг для обеспечения нужд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182920402075692040100100090014120244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беседок на территории ГКУ "Севастопольский городской комплексный центр социального обслуживания" по ул. Хрусталёва, 27 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Проектно-сметный метод может применяться при опре</w:t>
            </w:r>
            <w:r>
              <w:rPr>
                <w:rFonts w:eastAsia="Times New Roman"/>
                <w:sz w:val="12"/>
                <w:szCs w:val="12"/>
              </w:rPr>
              <w:t>делении и обосновании начальной (максимальной) цены контракта, цены контракта, заключаемого с единственным поставщиком (подрядчиком, исполнителем), на текущий ремонт зданий, строений, сооружений, помещений. (ст.22 ФЗ-44 от 05.04.2013)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Заказчик обязан проводить электронный аукцион в случае, если осуществляются закупки товаров, работ, услуг, включенных в перечень, установленный Правительством Российской Федерации, либо в дополнительный перечень, установленный высшим исполнительным орган</w:t>
            </w:r>
            <w:r>
              <w:rPr>
                <w:rFonts w:eastAsia="Times New Roman"/>
                <w:sz w:val="12"/>
                <w:szCs w:val="12"/>
              </w:rPr>
              <w:t>ом государственной власти субъекта Российской Федерации при осуществлении закупок товаров, работ, услуг для обеспечения нужд субъекта Российской Федерации,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182920402075692040100100090024120244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Работы по текущему ремонту беседок на террито</w:t>
            </w:r>
            <w:r>
              <w:rPr>
                <w:rFonts w:eastAsia="Times New Roman"/>
                <w:sz w:val="12"/>
                <w:szCs w:val="12"/>
              </w:rPr>
              <w:t xml:space="preserve">рии ГКУ "Севастопольский городской комплексный центр социального обслуживания" по ул. Хрусталёва, 27 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может применяться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на текущий ремонт зданий, строений, сооружений, помещений. </w:t>
            </w:r>
            <w:r>
              <w:rPr>
                <w:rFonts w:eastAsia="Times New Roman"/>
                <w:sz w:val="12"/>
                <w:szCs w:val="12"/>
              </w:rPr>
              <w:t>(ст.22 ФЗ-44 от 05.04.2013)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Заказчик обязан проводить электронный аукцион в случае, если осуществляются закупки товаров, работ, услуг, включенных в перечень, установленный Правительством Российской Федерации, либо в дополнительный пе</w:t>
            </w:r>
            <w:r>
              <w:rPr>
                <w:rFonts w:eastAsia="Times New Roman"/>
                <w:sz w:val="12"/>
                <w:szCs w:val="12"/>
              </w:rPr>
              <w:t>речень, установленный высшим исполнительным органом государственной власти субъекта Российской Федерации при осуществлении закупок товаров, работ, услуг для обеспечения нужд субъекта Российской Федерации,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182920402075692040100100090034120244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беседок на территории ГКУ "Севастопольский городской комплексный центр социального обслуживания" по ул. Хрусталёва,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Проектно-сме</w:t>
            </w:r>
            <w:r>
              <w:rPr>
                <w:rFonts w:eastAsia="Times New Roman"/>
                <w:sz w:val="12"/>
                <w:szCs w:val="12"/>
              </w:rPr>
              <w:t>тный метод может применяться при определении и обосновании начальной (максимальной) цены контракта, цены контракта, заключаемого с единственным поставщиком (подрядчиком, исполнителем), на текущий ремонт зданий, строений, сооружений, помещений. (ст.22 ФЗ-44</w:t>
            </w:r>
            <w:r>
              <w:rPr>
                <w:rFonts w:eastAsia="Times New Roman"/>
                <w:sz w:val="12"/>
                <w:szCs w:val="12"/>
              </w:rPr>
              <w:t xml:space="preserve"> от 05.04.2013)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Заказчик обязан проводить электронный аукцион в случае, если осуществляются закупки товаров, работ, услуг, включенных в перечень, установленный Правительством Российской Федерации, либо в дополнительный перечень, уста</w:t>
            </w:r>
            <w:r>
              <w:rPr>
                <w:rFonts w:eastAsia="Times New Roman"/>
                <w:sz w:val="12"/>
                <w:szCs w:val="12"/>
              </w:rPr>
              <w:t>новленный высшим исполнительным органом государственной власти субъекта Российской Федерации при осуществлении закупок товаров, работ, услуг для обеспечения нужд субъекта Российской Федерации,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182920402075692040100100090044120244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Работы по текущему ремонту беседок на территории ГКУ "Севастопольский городской комплексный центр социального обслуживания" по ул. Хрусталёва, 27, в г. Севастополе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370900.00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Проектно-сметный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Проектно-сметный метод может применяться при опред</w:t>
            </w:r>
            <w:r>
              <w:rPr>
                <w:rFonts w:eastAsia="Times New Roman"/>
                <w:sz w:val="12"/>
                <w:szCs w:val="12"/>
              </w:rPr>
              <w:t>елении и обосновании начальной (максимальной) цены контракта, цены контракта, заключаемого с единственным поставщиком (подрядчиком, исполнителем), на текущий ремонт зданий, строений, сооружений, помещений. (ст.22 ФЗ-44 от 05.04.2013)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Заказчик обязан проводить электронный аукцион в случае, если осуществляются закупки товаров, работ, услуг, включенных в перечень, установленный Правительством Российской Федерации, либо в дополнительный перечень, установленный высшим исполнительным органо</w:t>
            </w:r>
            <w:r>
              <w:rPr>
                <w:rFonts w:eastAsia="Times New Roman"/>
                <w:sz w:val="12"/>
                <w:szCs w:val="12"/>
              </w:rPr>
              <w:t>м государственной власти субъекта Российской Федерации при осуществлении закупок товаров, работ, услуг для обеспечения нужд субъекта Российской Федерации,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182920402075692040100100100018621244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проведению периодического медицинского осмотра работников ГКУ "Севастопольский городской комплексный центр социального обслуживания"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271800.00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Метод сопоставимых рыночных цен (анализа рынка)</w:t>
            </w:r>
            <w:r>
              <w:rPr>
                <w:rFonts w:eastAsia="Times New Roman"/>
                <w:sz w:val="12"/>
                <w:szCs w:val="12"/>
              </w:rPr>
              <w:t xml:space="preserve">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(ст.22 ФЗ-44 от 05.04.2013)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Заказчик вправе осуществлять закупки путем проведения запроса котировок в соответствии с положениями настоящего параграфа при условии, что начальная (максимальная) цена контракта не превышает пятьсот тысяч рублей. При этом годовой объем закупок, осуществля</w:t>
            </w:r>
            <w:r>
              <w:rPr>
                <w:rFonts w:eastAsia="Times New Roman"/>
                <w:sz w:val="12"/>
                <w:szCs w:val="12"/>
              </w:rPr>
              <w:t>емых путем проведения запроса котировок, не должен превышать десять процентов совокупного годового объема закупок заказчика и не должен составлять более чем сто миллионов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182920402075692040100100110015610244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обеспечению г</w:t>
            </w:r>
            <w:r>
              <w:rPr>
                <w:rFonts w:eastAsia="Times New Roman"/>
                <w:sz w:val="12"/>
                <w:szCs w:val="12"/>
              </w:rPr>
              <w:t>орячими обедами на предприятии общественного питания граждан пожилого возраста и инвалидов молодого 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2592000.00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(ст.22 ФЗ-44 от 05.04.2013)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Заказчик обязан проводить электронный аукцион в случае, если осуществляются закупки товаров, работ, услуг, включенных в перечень, установленный Правительством Российской Федерации, либо в дополнительный перечень, установленный высшим и</w:t>
            </w:r>
            <w:r>
              <w:rPr>
                <w:rFonts w:eastAsia="Times New Roman"/>
                <w:sz w:val="12"/>
                <w:szCs w:val="12"/>
              </w:rPr>
              <w:t>сполнительным органом государственной власти субъекта Российской Федерации при осуществлении закупок товаров, работ, услуг для обеспечения нужд субъекта Российской Федерации,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182920402075692040100100120010000244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Закупка </w:t>
            </w:r>
            <w:r>
              <w:rPr>
                <w:rFonts w:eastAsia="Times New Roman"/>
                <w:sz w:val="12"/>
                <w:szCs w:val="12"/>
              </w:rPr>
              <w:t xml:space="preserve">мебели для офисов, административных помещений в ассортименте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561000.00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</w:t>
            </w:r>
            <w:r>
              <w:rPr>
                <w:rFonts w:eastAsia="Times New Roman"/>
                <w:sz w:val="12"/>
                <w:szCs w:val="12"/>
              </w:rPr>
              <w:t>ы контракта, цены контракта, заключаемого с единственным поставщиком (подрядчиком, исполнителем). (ст.22 ФЗ-44 от 05.04.2013)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Заказчик обязан проводить электронный аукцион в случае, если осуществляются закупки товаров, работ, услуг, </w:t>
            </w:r>
            <w:r>
              <w:rPr>
                <w:rFonts w:eastAsia="Times New Roman"/>
                <w:sz w:val="12"/>
                <w:szCs w:val="12"/>
              </w:rPr>
              <w:t>включенных в перечень, установленный Правительством Российской Федерации, либо в дополнительный перечень, установленный высшим исполнительным органом государственной власти субъекта Российской Федерации при осуществлении закупок товаров, работ, услуг для о</w:t>
            </w:r>
            <w:r>
              <w:rPr>
                <w:rFonts w:eastAsia="Times New Roman"/>
                <w:sz w:val="12"/>
                <w:szCs w:val="12"/>
              </w:rPr>
              <w:t>беспечения нужд субъекта Российской Федерации,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182920402075692040100100130010000244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Закупка компьютеров (ЭВМ) и многофункциональных устройств (МФУ) в ассортименте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630000.00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(ст.22 ФЗ-44 от 05.04.2013)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Заказчик обязан проводить электронный аукцион в случае, если осуществляются закупки товаров, работ, услуг, включенных в перечень, установленный Правительством Российской Федерации, либо в дополнительный перечень, установленный высшим и</w:t>
            </w:r>
            <w:r>
              <w:rPr>
                <w:rFonts w:eastAsia="Times New Roman"/>
                <w:sz w:val="12"/>
                <w:szCs w:val="12"/>
              </w:rPr>
              <w:t>сполнительным органом государственной власти субъекта Российской Федерации при осуществлении закупок товаров, работ, услуг для обеспечения нужд субъекта Российской Федерации,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182920402075692040100100140012825244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Закупка кондиционеров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333000.00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</w:t>
            </w:r>
            <w:r>
              <w:rPr>
                <w:rFonts w:eastAsia="Times New Roman"/>
                <w:sz w:val="12"/>
                <w:szCs w:val="12"/>
              </w:rPr>
              <w:t>щиком (подрядчиком, исполнителем). (ст.22 ФЗ-44 от 05.04.2013)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Заказчик обязан проводить электронный аукцион в случае, если осуществляются закупки товаров, работ, услуг, включенных в перечень, установленный Правительством Российской Федерации, либо в дополнительный перечень, установленный высшим исполнительным органом</w:t>
            </w:r>
            <w:r>
              <w:rPr>
                <w:rFonts w:eastAsia="Times New Roman"/>
                <w:sz w:val="12"/>
                <w:szCs w:val="12"/>
              </w:rPr>
              <w:t xml:space="preserve"> государственной власти субъекта Российской Федерации при осуществлении закупок товаров, работ, услуг для обеспечения нужд субъекта Российской Федерации,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182920402075692040100100150010000244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спецодежды, обуви и инвентаря для работ</w:t>
            </w:r>
            <w:r>
              <w:rPr>
                <w:rFonts w:eastAsia="Times New Roman"/>
                <w:sz w:val="12"/>
                <w:szCs w:val="12"/>
              </w:rPr>
              <w:t xml:space="preserve">ников ГКУ "Севастопольский городской комплексный центр социального обслуживания"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408100.00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исполнителем). (ст.22 ФЗ-44 от 05.04.2013)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Заказчик вправе осуществлять закупки путем проведения запроса котировок в соответствии с положениями настоящего параграфа при условии, что начальная (максимальная) цена контракта не превышает пятьсот тысяч рублей. При этом годовой объем з</w:t>
            </w:r>
            <w:r>
              <w:rPr>
                <w:rFonts w:eastAsia="Times New Roman"/>
                <w:sz w:val="12"/>
                <w:szCs w:val="12"/>
              </w:rPr>
              <w:t>акупок, осуществляемых путем проведения запроса котировок, не должен превышать десять процентов совокупного годового объема закупок заказчика и не должен составлять более чем сто миллионов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182920402075692040100100180018541244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Услуги по обучению компьютерной грамотности неработающих пенсионеров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Метод сопоставимых рыночных цен (анализа рынка) является приоритетным для определения и обоснования начальной (максимальн</w:t>
            </w:r>
            <w:r>
              <w:rPr>
                <w:rFonts w:eastAsia="Times New Roman"/>
                <w:sz w:val="12"/>
                <w:szCs w:val="12"/>
              </w:rPr>
              <w:t>ой) цены контракта, цены контракта, заключаемого с единственным поставщиком (подрядчиком, исполнителем). (ст.22 ФЗ-44 от 05.04.2013)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Заказчик вправе осуществлять закупки путем проведения запроса котировок в соответствии с положениями ФЗ</w:t>
            </w:r>
            <w:r>
              <w:rPr>
                <w:rFonts w:eastAsia="Times New Roman"/>
                <w:sz w:val="12"/>
                <w:szCs w:val="12"/>
              </w:rPr>
              <w:t>-44 от 05.04.2013г. при условии, что начальная (максимальная) цена контракта не превышает пятьсот тысяч рублей. При этом годовой объем закупок, осуществляемых путем проведения запроса котировок, не должен превышать десять процентов совокупного годового объ</w:t>
            </w:r>
            <w:r>
              <w:rPr>
                <w:rFonts w:eastAsia="Times New Roman"/>
                <w:sz w:val="12"/>
                <w:szCs w:val="12"/>
              </w:rPr>
              <w:t>ема закупок заказчика и не должен составлять более чем сто миллионов 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182920402075692040100100190018110244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и работ </w:t>
            </w:r>
            <w:r>
              <w:rPr>
                <w:rFonts w:eastAsia="Times New Roman"/>
                <w:sz w:val="12"/>
                <w:szCs w:val="12"/>
              </w:rPr>
              <w:t>по содержанию и ремонту общего имущества в многоквартирном жилом доме, расположенном по адресу: г. Севастополь, ул. Гоголя, 20-А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5593.92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Тарифный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Тарифный метод применяется заказчиком, если в соответствии с законодательством Российской Федера</w:t>
            </w:r>
            <w:r>
              <w:rPr>
                <w:rFonts w:eastAsia="Times New Roman"/>
                <w:sz w:val="12"/>
                <w:szCs w:val="12"/>
              </w:rPr>
              <w:t>ции цены закупаемых товаров, работ, услуг для обеспечения государственных и муниципальных нужд подлежат государственному регулированию или установлены муниципальными правовыми актами. В этом случае начальная (максимальная) цена контракта, цена контракта, з</w:t>
            </w:r>
            <w:r>
              <w:rPr>
                <w:rFonts w:eastAsia="Times New Roman"/>
                <w:sz w:val="12"/>
                <w:szCs w:val="12"/>
              </w:rPr>
              <w:t>аключаемого с единственным поставщиком (подрядчиком, исполнителем), определяются по регулируемым ценам (тарифам) на товары, работы, услуги ч.8 ст. 22 ФЗ-44 от 05.04.2013 «О контрактной системе в сфере закупок товаров, работ, услуг для обеспечения государст</w:t>
            </w:r>
            <w:r>
              <w:rPr>
                <w:rFonts w:eastAsia="Times New Roman"/>
                <w:sz w:val="12"/>
                <w:szCs w:val="12"/>
              </w:rPr>
              <w:t xml:space="preserve">венных и муниципальных нужд»).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(на основании п. 22 ч. 1 ст. 93 Закона № 44-ФЗ – заключение контракта управления многоквартирным домом на основании решения о</w:t>
            </w:r>
            <w:r>
              <w:rPr>
                <w:rFonts w:eastAsia="Times New Roman"/>
                <w:sz w:val="12"/>
                <w:szCs w:val="12"/>
              </w:rPr>
              <w:t>бщего собрания собственников помещений в многоквартирном доме или открытого конкурса, проводимого органом местного самоуправления в соответствии с жилищным законодательством, управляющей компанией, если помещения в многоквартирном доме находятся в частной,</w:t>
            </w:r>
            <w:r>
              <w:rPr>
                <w:rFonts w:eastAsia="Times New Roman"/>
                <w:sz w:val="12"/>
                <w:szCs w:val="12"/>
              </w:rPr>
              <w:t xml:space="preserve"> государственной или муниципальной собственности;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182920402075692040100100200016110244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Оказание услуг связи проводного радиовещания и оповещения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4000.00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Метод, не предусмотренный ч.1 ст.22 44-ФЗ/Иной метод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Иной метод </w:t>
            </w:r>
            <w:r>
              <w:rPr>
                <w:rFonts w:eastAsia="Times New Roman"/>
                <w:sz w:val="12"/>
                <w:szCs w:val="12"/>
              </w:rPr>
              <w:t>(на основании тарифов на услуги и работы для юридических и физических лиц, утвержденных приказом Ордена Трудового Красного Знамени Федеральным государственным унитарным предприятием «Российские сети вещания и оповещения» (филиал «Севастопольские сети вещан</w:t>
            </w:r>
            <w:r>
              <w:rPr>
                <w:rFonts w:eastAsia="Times New Roman"/>
                <w:sz w:val="12"/>
                <w:szCs w:val="12"/>
              </w:rPr>
              <w:t>ия и оповещения» ) В соответствии с ч.12 ст. 22 Федерального закона №44-ФЗ от 05.04.2013 «О контрактной системе в сфере закупок товаров, работ, услуг для обеспечения государственных и муниципальных нужд» в случае невозможности применения для определения на</w:t>
            </w:r>
            <w:r>
              <w:rPr>
                <w:rFonts w:eastAsia="Times New Roman"/>
                <w:sz w:val="12"/>
                <w:szCs w:val="12"/>
              </w:rPr>
              <w:t>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, заказчик вправе применить иные методы. В этом случае в обоснование начальной (максимальной)</w:t>
            </w:r>
            <w:r>
              <w:rPr>
                <w:rFonts w:eastAsia="Times New Roman"/>
                <w:sz w:val="12"/>
                <w:szCs w:val="12"/>
              </w:rPr>
              <w:t xml:space="preserve"> цены контракта, цены контракта, заключаемого с единственным поставщиком (подрядчиком, исполнителем), заказчик обязан включить обоснование невозможности применения указанных методов. В данном случае применение других методов невозможно по следующим основан</w:t>
            </w:r>
            <w:r>
              <w:rPr>
                <w:rFonts w:eastAsia="Times New Roman"/>
                <w:sz w:val="12"/>
                <w:szCs w:val="12"/>
              </w:rPr>
              <w:t>иям. 1. Согласно распоряжения Правительства Севастополя №278-РП от 16.04.2015 «О передаче в безвозмездное пользование ФГУП РСВО объектов сети проводного вещания» ФГУП РСВО переданы в безвозмездное пользование на бессрочный период комплекс сети проводного в</w:t>
            </w:r>
            <w:r>
              <w:rPr>
                <w:rFonts w:eastAsia="Times New Roman"/>
                <w:sz w:val="12"/>
                <w:szCs w:val="12"/>
              </w:rPr>
              <w:t xml:space="preserve">ещания и оповещения в г. Севастополе. Вследствие указанного распоряжения только ФГУП РСВО выступает как оператор централизованного проводного вещания, что делает невозможным применение метода сопоставимых рыночных цен (анализа рынка) в связи с отсутствием </w:t>
            </w:r>
            <w:r>
              <w:rPr>
                <w:rFonts w:eastAsia="Times New Roman"/>
                <w:sz w:val="12"/>
                <w:szCs w:val="12"/>
              </w:rPr>
              <w:t>других исполнителей. 2. Тарифы на оказываемые услуги утверждаются приказом ФГУП РСВО (Севастопольский филиал), что делает невозможным применение -нормативного метода (отсутствие требований к закупаемым товарам, работам, услугам, установленных в соответстви</w:t>
            </w:r>
            <w:r>
              <w:rPr>
                <w:rFonts w:eastAsia="Times New Roman"/>
                <w:sz w:val="12"/>
                <w:szCs w:val="12"/>
              </w:rPr>
              <w:t>и со статьей 19 ФЗ-44 в случае, если такие требования предусматривают установление предельных цен товаров, работ, услуг- ст. 22 ч. 7 ФЗ-44 от 05.04.2013). - тарифного метода (отсутствие регулируемых цен (тарифам) на товары, работы, услуги - ст. 22 ч. 8 ФЗ-</w:t>
            </w:r>
            <w:r>
              <w:rPr>
                <w:rFonts w:eastAsia="Times New Roman"/>
                <w:sz w:val="12"/>
                <w:szCs w:val="12"/>
              </w:rPr>
              <w:t xml:space="preserve">44 от 05.04.2013). - затратного метода ( отсутствие информации для расчета цены на основе суммы произведенных затрат и обычной для определенной сферы деятельности прибыли - ст. 22 ч.10) ФЗ-44 от 05.04.2013). Услуги радиовещания и оповещения не относятся к </w:t>
            </w:r>
            <w:r>
              <w:rPr>
                <w:rFonts w:eastAsia="Times New Roman"/>
                <w:sz w:val="12"/>
                <w:szCs w:val="12"/>
              </w:rPr>
              <w:t xml:space="preserve">категориям работ и услуг, для основания Н(М)ЦК которых возможно применение проектно-сметного метода ( ст.22 ч.9 ФЗ-44) </w:t>
            </w:r>
            <w:r>
              <w:rPr>
                <w:rFonts w:eastAsia="Times New Roman"/>
                <w:sz w:val="12"/>
                <w:szCs w:val="12"/>
              </w:rPr>
              <w:br/>
            </w:r>
            <w:r>
              <w:rPr>
                <w:rFonts w:eastAsia="Times New Roman"/>
                <w:sz w:val="12"/>
                <w:szCs w:val="12"/>
              </w:rPr>
              <w:t>Цена установлена исходя из стоимости Абонентской платы за 1(Одну) радиоточку - 50,00 рублей, количества радиоточек -8 (Восемь) и количес</w:t>
            </w:r>
            <w:r>
              <w:rPr>
                <w:rFonts w:eastAsia="Times New Roman"/>
                <w:sz w:val="12"/>
                <w:szCs w:val="12"/>
              </w:rPr>
              <w:t xml:space="preserve">тва месяцев облуживания – 10 (Десять месяцев - с января по октябрь 2018 года): 50,00 руб./мес.*8 радиоточек*10 месяцев = 4 000,00 руб.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Закупка у единственного поставщика </w:t>
            </w:r>
            <w:r>
              <w:rPr>
                <w:rFonts w:eastAsia="Times New Roman"/>
                <w:sz w:val="12"/>
                <w:szCs w:val="12"/>
              </w:rPr>
              <w:t>(на основании п. 6 ч. 1 ст. 93 Закона № 44-ФЗ – закупка работы или услуги,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учреждением, г</w:t>
            </w:r>
            <w:r>
              <w:rPr>
                <w:rFonts w:eastAsia="Times New Roman"/>
                <w:sz w:val="12"/>
                <w:szCs w:val="12"/>
              </w:rPr>
              <w:t>осударственным унитарным предприятием, соответствующие полномочия которых устанавливаются федеральными законами, нормативными правовыми актами Президента Российской Федерации или нормативными правовыми актами Правительства Российской Федерации, законодател</w:t>
            </w:r>
            <w:r>
              <w:rPr>
                <w:rFonts w:eastAsia="Times New Roman"/>
                <w:sz w:val="12"/>
                <w:szCs w:val="12"/>
              </w:rPr>
              <w:t xml:space="preserve">ьными актами соответствующего субъекта Российской Федерации)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182920402075692040100100160010000244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1656908.08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 xml:space="preserve">Метод сопоставимых рыночных цен (анализа рынка) 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  <w:r>
              <w:rPr>
                <w:rFonts w:eastAsia="Times New Roman"/>
                <w:sz w:val="12"/>
                <w:szCs w:val="12"/>
              </w:rPr>
              <w:t>Метод сопоставимых рыночных цен (анализа рынка) является приоритетным для определения и обоснования начальной (максимальной) цены контракта, цены контракта, заключаемого с единственным поставщиком (подр</w:t>
            </w:r>
            <w:r>
              <w:rPr>
                <w:rFonts w:eastAsia="Times New Roman"/>
                <w:sz w:val="12"/>
                <w:szCs w:val="12"/>
              </w:rPr>
              <w:t>ядчиком, исполнителем). (ст.22 ФЗ-44 от 05.04.2013)</w:t>
            </w:r>
            <w:r>
              <w:rPr>
                <w:rFonts w:eastAsia="Times New Roman"/>
                <w:sz w:val="12"/>
                <w:szCs w:val="12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  <w:sz w:val="12"/>
                <w:szCs w:val="12"/>
              </w:rPr>
            </w:pPr>
          </w:p>
        </w:tc>
      </w:tr>
    </w:tbl>
    <w:p w:rsidR="00000000" w:rsidRDefault="006D37ED">
      <w:pPr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4"/>
        <w:gridCol w:w="121"/>
        <w:gridCol w:w="1064"/>
        <w:gridCol w:w="666"/>
        <w:gridCol w:w="540"/>
        <w:gridCol w:w="120"/>
        <w:gridCol w:w="1506"/>
        <w:gridCol w:w="120"/>
        <w:gridCol w:w="300"/>
        <w:gridCol w:w="300"/>
        <w:gridCol w:w="234"/>
      </w:tblGrid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Авсейкова Наталья Ивановна, директор</w:t>
            </w:r>
          </w:p>
        </w:tc>
        <w:tc>
          <w:tcPr>
            <w:tcW w:w="5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350" w:type="pct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«23»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г. </w:t>
            </w: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(подпись)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Шустова Мария Юрьевна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6D37E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6D37ED">
      <w:pPr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val="fullPage"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D37ED"/>
    <w:rsid w:val="006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zakupki.gov.ru/oos/printform/1"/>
  <w:attachedSchema w:val="http://zakupki.gov.ru/oos/types/1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pPr>
      <w:spacing w:before="100" w:beforeAutospacing="1" w:after="100" w:afterAutospacing="1"/>
    </w:pPr>
  </w:style>
  <w:style w:type="paragraph" w:customStyle="1" w:styleId="leftcolumn">
    <w:name w:val="leftcolumn"/>
    <w:basedOn w:val="a"/>
    <w:pPr>
      <w:spacing w:before="100" w:beforeAutospacing="1" w:after="100" w:afterAutospacing="1"/>
    </w:pPr>
  </w:style>
  <w:style w:type="paragraph" w:customStyle="1" w:styleId="centercolumn">
    <w:name w:val="centercolumn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valuetable">
    <w:name w:val="value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otertable">
    <w:name w:val="footertable"/>
    <w:basedOn w:val="a"/>
    <w:pPr>
      <w:spacing w:before="100" w:beforeAutospacing="1" w:after="100" w:afterAutospacing="1"/>
    </w:pPr>
  </w:style>
  <w:style w:type="paragraph" w:customStyle="1" w:styleId="font9size">
    <w:name w:val="font9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8size">
    <w:name w:val="font8size"/>
    <w:basedOn w:val="a"/>
    <w:pPr>
      <w:spacing w:before="100" w:beforeAutospacing="1" w:after="100" w:afterAutospacing="1"/>
    </w:pPr>
    <w:rPr>
      <w:sz w:val="14"/>
      <w:szCs w:val="14"/>
    </w:rPr>
  </w:style>
  <w:style w:type="paragraph" w:customStyle="1" w:styleId="font7size">
    <w:name w:val="font7size"/>
    <w:basedOn w:val="a"/>
    <w:pPr>
      <w:spacing w:before="100" w:beforeAutospacing="1" w:after="100" w:afterAutospacing="1"/>
    </w:pPr>
    <w:rPr>
      <w:sz w:val="11"/>
      <w:szCs w:val="11"/>
    </w:rPr>
  </w:style>
  <w:style w:type="paragraph" w:customStyle="1" w:styleId="font6size">
    <w:name w:val="font6size"/>
    <w:basedOn w:val="a"/>
    <w:pPr>
      <w:spacing w:before="100" w:beforeAutospacing="1" w:after="100" w:afterAutospacing="1"/>
    </w:pPr>
    <w:rPr>
      <w:sz w:val="9"/>
      <w:szCs w:val="9"/>
    </w:rPr>
  </w:style>
  <w:style w:type="paragraph" w:customStyle="1" w:styleId="codestd">
    <w:name w:val="codestd"/>
    <w:basedOn w:val="a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/>
      <w:jc w:val="center"/>
    </w:pPr>
  </w:style>
  <w:style w:type="paragraph" w:customStyle="1" w:styleId="codenamestd">
    <w:name w:val="codenamestd"/>
    <w:basedOn w:val="a"/>
    <w:pPr>
      <w:spacing w:before="100" w:beforeAutospacing="1" w:after="100" w:afterAutospacing="1"/>
    </w:pPr>
  </w:style>
  <w:style w:type="paragraph" w:customStyle="1" w:styleId="leftcolumn">
    <w:name w:val="leftcolumn"/>
    <w:basedOn w:val="a"/>
    <w:pPr>
      <w:spacing w:before="100" w:beforeAutospacing="1" w:after="100" w:afterAutospacing="1"/>
    </w:pPr>
  </w:style>
  <w:style w:type="paragraph" w:customStyle="1" w:styleId="centercolumn">
    <w:name w:val="centercolumn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8067</Words>
  <Characters>45987</Characters>
  <Application>Microsoft Office Word</Application>
  <DocSecurity>4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Размещение информации на официальном сайте ЕИС</vt:lpstr>
    </vt:vector>
  </TitlesOfParts>
  <Company/>
  <LinksUpToDate>false</LinksUpToDate>
  <CharactersWithSpaces>53947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Размещение информации на официальном сайте ЕИС</dc:title>
  <dc:creator>18</dc:creator>
  <cp:lastModifiedBy>18</cp:lastModifiedBy>
  <cp:revision>2</cp:revision>
  <dcterms:created xsi:type="dcterms:W3CDTF">2018-04-17T14:12:00Z</dcterms:created>
  <dcterms:modified xsi:type="dcterms:W3CDTF">2018-04-17T14:12:00Z</dcterms:modified>
</cp:coreProperties>
</file>